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32C" w:rsidRPr="00C63393" w:rsidRDefault="00CD732C" w:rsidP="00CD732C">
      <w:pPr>
        <w:rPr>
          <w:b/>
          <w:sz w:val="24"/>
          <w:szCs w:val="24"/>
        </w:rPr>
      </w:pPr>
      <w:r w:rsidRPr="00C63393">
        <w:rPr>
          <w:b/>
          <w:sz w:val="24"/>
          <w:szCs w:val="24"/>
        </w:rPr>
        <w:t>Sun Ray Boats</w:t>
      </w:r>
    </w:p>
    <w:p w:rsidR="00CD732C" w:rsidRPr="00C63393" w:rsidRDefault="00CD732C" w:rsidP="00CD732C">
      <w:pPr>
        <w:rPr>
          <w:sz w:val="24"/>
          <w:szCs w:val="24"/>
        </w:rPr>
      </w:pPr>
      <w:r w:rsidRPr="00C63393">
        <w:rPr>
          <w:sz w:val="24"/>
          <w:szCs w:val="24"/>
        </w:rPr>
        <w:t>The family has decided to sell Sun Ray Boats as well due to the cyclical nature of the smaller boat manufacturing and sales business.  The family is considering buying a boat manufacturing operation that builds much larger boats and is less cyclical.  The following information was provided to AE relating to Sun Ray Boats for the last fiscal year.</w:t>
      </w:r>
    </w:p>
    <w:p w:rsidR="00CD732C" w:rsidRDefault="00CD732C" w:rsidP="00CD732C">
      <w:pPr>
        <w:rPr>
          <w:sz w:val="24"/>
          <w:szCs w:val="24"/>
        </w:rPr>
      </w:pPr>
      <w:r w:rsidRPr="00C63393">
        <w:rPr>
          <w:sz w:val="24"/>
          <w:szCs w:val="24"/>
        </w:rPr>
        <w:t>Operating financial information:</w:t>
      </w:r>
    </w:p>
    <w:p w:rsidR="00CD732C" w:rsidRDefault="00CD732C" w:rsidP="00CD732C">
      <w:pPr>
        <w:rPr>
          <w:sz w:val="24"/>
          <w:szCs w:val="24"/>
        </w:rPr>
      </w:pPr>
    </w:p>
    <w:p w:rsidR="00CD732C" w:rsidRDefault="00CD732C" w:rsidP="00CD732C">
      <w:pPr>
        <w:rPr>
          <w:sz w:val="24"/>
          <w:szCs w:val="24"/>
        </w:rPr>
      </w:pPr>
    </w:p>
    <w:p w:rsidR="00CD732C" w:rsidRPr="00C63393" w:rsidRDefault="00CD732C" w:rsidP="00CD732C">
      <w:pPr>
        <w:rPr>
          <w:sz w:val="24"/>
          <w:szCs w:val="24"/>
        </w:rPr>
      </w:pPr>
    </w:p>
    <w:tbl>
      <w:tblPr>
        <w:tblW w:w="8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359"/>
        <w:gridCol w:w="2170"/>
      </w:tblGrid>
      <w:tr w:rsidR="00CD732C" w:rsidRPr="004C7ABE" w:rsidTr="004B798A">
        <w:tc>
          <w:tcPr>
            <w:tcW w:w="4219" w:type="dxa"/>
            <w:shd w:val="clear" w:color="auto" w:fill="FFFFCC"/>
          </w:tcPr>
          <w:p w:rsidR="00CD732C" w:rsidRPr="004C7ABE" w:rsidRDefault="00CD732C" w:rsidP="004B798A">
            <w:pPr>
              <w:spacing w:before="60" w:after="60" w:line="240" w:lineRule="atLeast"/>
              <w:jc w:val="center"/>
              <w:rPr>
                <w:b/>
                <w:sz w:val="24"/>
                <w:szCs w:val="24"/>
              </w:rPr>
            </w:pPr>
          </w:p>
        </w:tc>
        <w:tc>
          <w:tcPr>
            <w:tcW w:w="2359" w:type="dxa"/>
            <w:shd w:val="clear" w:color="auto" w:fill="FFFFCC"/>
          </w:tcPr>
          <w:p w:rsidR="00CD732C" w:rsidRPr="004C7ABE" w:rsidRDefault="00CD732C" w:rsidP="004B798A">
            <w:pPr>
              <w:spacing w:before="60" w:after="60" w:line="240" w:lineRule="atLeast"/>
              <w:jc w:val="center"/>
              <w:rPr>
                <w:b/>
                <w:sz w:val="24"/>
                <w:szCs w:val="24"/>
              </w:rPr>
            </w:pPr>
            <w:r w:rsidRPr="004C7ABE">
              <w:rPr>
                <w:b/>
                <w:sz w:val="24"/>
                <w:szCs w:val="24"/>
              </w:rPr>
              <w:t>Fiscal year ended</w:t>
            </w:r>
          </w:p>
          <w:p w:rsidR="00CD732C" w:rsidRPr="004C7ABE" w:rsidRDefault="00CD732C" w:rsidP="004B798A">
            <w:pPr>
              <w:spacing w:before="60" w:after="60" w:line="240" w:lineRule="atLeast"/>
              <w:jc w:val="center"/>
              <w:rPr>
                <w:b/>
                <w:sz w:val="24"/>
                <w:szCs w:val="24"/>
              </w:rPr>
            </w:pPr>
            <w:smartTag w:uri="urn:schemas-microsoft-com:office:smarttags" w:element="date">
              <w:smartTagPr>
                <w:attr w:name="Year" w:val="2011"/>
                <w:attr w:name="Day" w:val="30"/>
                <w:attr w:name="Month" w:val="11"/>
                <w:attr w:name="ls" w:val="trans"/>
              </w:smartTagPr>
              <w:r w:rsidRPr="004C7ABE">
                <w:rPr>
                  <w:b/>
                  <w:sz w:val="24"/>
                  <w:szCs w:val="24"/>
                </w:rPr>
                <w:t>November 30, 2011</w:t>
              </w:r>
            </w:smartTag>
          </w:p>
        </w:tc>
        <w:tc>
          <w:tcPr>
            <w:tcW w:w="2170" w:type="dxa"/>
            <w:shd w:val="clear" w:color="auto" w:fill="FFFFCC"/>
          </w:tcPr>
          <w:p w:rsidR="00CD732C" w:rsidRPr="004C7ABE" w:rsidRDefault="00CD732C" w:rsidP="004B798A">
            <w:pPr>
              <w:spacing w:before="60" w:after="60" w:line="240" w:lineRule="atLeast"/>
              <w:jc w:val="center"/>
              <w:rPr>
                <w:b/>
                <w:sz w:val="24"/>
                <w:szCs w:val="24"/>
              </w:rPr>
            </w:pPr>
          </w:p>
        </w:tc>
      </w:tr>
      <w:tr w:rsidR="00CD732C" w:rsidRPr="004C7ABE" w:rsidTr="004B798A">
        <w:tc>
          <w:tcPr>
            <w:tcW w:w="4219" w:type="dxa"/>
          </w:tcPr>
          <w:p w:rsidR="00CD732C" w:rsidRPr="004C7ABE" w:rsidRDefault="00CD732C" w:rsidP="004B798A">
            <w:pPr>
              <w:spacing w:before="60" w:after="60" w:line="240" w:lineRule="atLeast"/>
              <w:rPr>
                <w:sz w:val="24"/>
                <w:szCs w:val="24"/>
              </w:rPr>
            </w:pPr>
            <w:r w:rsidRPr="004C7ABE">
              <w:rPr>
                <w:sz w:val="24"/>
                <w:szCs w:val="24"/>
              </w:rPr>
              <w:t>Revenues</w:t>
            </w:r>
          </w:p>
        </w:tc>
        <w:tc>
          <w:tcPr>
            <w:tcW w:w="2359" w:type="dxa"/>
          </w:tcPr>
          <w:p w:rsidR="00CD732C" w:rsidRPr="004C7ABE" w:rsidRDefault="00CD732C" w:rsidP="004B798A">
            <w:pPr>
              <w:spacing w:before="60" w:after="60" w:line="240" w:lineRule="atLeast"/>
              <w:jc w:val="right"/>
              <w:rPr>
                <w:sz w:val="24"/>
                <w:szCs w:val="24"/>
              </w:rPr>
            </w:pPr>
            <w:r w:rsidRPr="004C7ABE">
              <w:rPr>
                <w:sz w:val="24"/>
                <w:szCs w:val="24"/>
              </w:rPr>
              <w:t>$20 million</w:t>
            </w:r>
          </w:p>
        </w:tc>
        <w:tc>
          <w:tcPr>
            <w:tcW w:w="2170" w:type="dxa"/>
          </w:tcPr>
          <w:p w:rsidR="00CD732C" w:rsidRPr="004C7ABE" w:rsidRDefault="00CD732C" w:rsidP="004B798A">
            <w:pPr>
              <w:spacing w:before="60" w:after="60" w:line="240" w:lineRule="atLeast"/>
              <w:jc w:val="right"/>
              <w:rPr>
                <w:sz w:val="24"/>
                <w:szCs w:val="24"/>
              </w:rPr>
            </w:pPr>
          </w:p>
        </w:tc>
      </w:tr>
      <w:tr w:rsidR="00CD732C" w:rsidRPr="004C7ABE" w:rsidTr="004B798A">
        <w:tc>
          <w:tcPr>
            <w:tcW w:w="4219" w:type="dxa"/>
          </w:tcPr>
          <w:p w:rsidR="00CD732C" w:rsidRPr="004C7ABE" w:rsidRDefault="00CD732C" w:rsidP="004B798A">
            <w:pPr>
              <w:spacing w:before="60" w:after="60" w:line="240" w:lineRule="atLeast"/>
              <w:rPr>
                <w:sz w:val="24"/>
                <w:szCs w:val="24"/>
              </w:rPr>
            </w:pPr>
            <w:r w:rsidRPr="004C7ABE">
              <w:rPr>
                <w:sz w:val="24"/>
                <w:szCs w:val="24"/>
              </w:rPr>
              <w:t xml:space="preserve">Cost of </w:t>
            </w:r>
            <w:smartTag w:uri="urn:schemas-kweb:inappropriateterms" w:element="lists">
              <w:r w:rsidRPr="004C7ABE">
                <w:rPr>
                  <w:sz w:val="24"/>
                  <w:szCs w:val="24"/>
                </w:rPr>
                <w:t>goods</w:t>
              </w:r>
            </w:smartTag>
            <w:r w:rsidRPr="004C7ABE">
              <w:rPr>
                <w:sz w:val="24"/>
                <w:szCs w:val="24"/>
              </w:rPr>
              <w:t xml:space="preserve"> sold</w:t>
            </w:r>
          </w:p>
        </w:tc>
        <w:tc>
          <w:tcPr>
            <w:tcW w:w="2359" w:type="dxa"/>
          </w:tcPr>
          <w:p w:rsidR="00CD732C" w:rsidRPr="004C7ABE" w:rsidRDefault="00CD732C" w:rsidP="004B798A">
            <w:pPr>
              <w:spacing w:before="60" w:after="60" w:line="240" w:lineRule="atLeast"/>
              <w:jc w:val="right"/>
              <w:rPr>
                <w:sz w:val="24"/>
                <w:szCs w:val="24"/>
              </w:rPr>
            </w:pPr>
            <w:r w:rsidRPr="004C7ABE">
              <w:rPr>
                <w:sz w:val="24"/>
                <w:szCs w:val="24"/>
              </w:rPr>
              <w:t>$10 million</w:t>
            </w:r>
          </w:p>
        </w:tc>
        <w:tc>
          <w:tcPr>
            <w:tcW w:w="2170" w:type="dxa"/>
          </w:tcPr>
          <w:p w:rsidR="00CD732C" w:rsidRPr="004C7ABE" w:rsidRDefault="00CD732C" w:rsidP="004B798A">
            <w:pPr>
              <w:spacing w:before="60" w:after="60" w:line="240" w:lineRule="atLeast"/>
              <w:jc w:val="right"/>
              <w:rPr>
                <w:sz w:val="24"/>
                <w:szCs w:val="24"/>
              </w:rPr>
            </w:pPr>
          </w:p>
        </w:tc>
      </w:tr>
      <w:tr w:rsidR="00CD732C" w:rsidRPr="004C7ABE" w:rsidTr="004B798A">
        <w:tc>
          <w:tcPr>
            <w:tcW w:w="4219" w:type="dxa"/>
          </w:tcPr>
          <w:p w:rsidR="00CD732C" w:rsidRPr="004C7ABE" w:rsidRDefault="00CD732C" w:rsidP="004B798A">
            <w:pPr>
              <w:spacing w:before="60" w:after="60" w:line="240" w:lineRule="atLeast"/>
              <w:rPr>
                <w:sz w:val="24"/>
                <w:szCs w:val="24"/>
              </w:rPr>
            </w:pPr>
            <w:r w:rsidRPr="004C7ABE">
              <w:rPr>
                <w:sz w:val="24"/>
                <w:szCs w:val="24"/>
              </w:rPr>
              <w:t>Selling, general and administrative expenses</w:t>
            </w:r>
          </w:p>
        </w:tc>
        <w:tc>
          <w:tcPr>
            <w:tcW w:w="2359" w:type="dxa"/>
          </w:tcPr>
          <w:p w:rsidR="00CD732C" w:rsidRPr="004C7ABE" w:rsidRDefault="00CD732C" w:rsidP="004B798A">
            <w:pPr>
              <w:spacing w:before="60" w:after="60" w:line="240" w:lineRule="atLeast"/>
              <w:jc w:val="right"/>
              <w:rPr>
                <w:sz w:val="24"/>
                <w:szCs w:val="24"/>
              </w:rPr>
            </w:pPr>
            <w:r w:rsidRPr="004C7ABE">
              <w:rPr>
                <w:sz w:val="24"/>
                <w:szCs w:val="24"/>
              </w:rPr>
              <w:t>$5 million</w:t>
            </w:r>
          </w:p>
        </w:tc>
        <w:tc>
          <w:tcPr>
            <w:tcW w:w="2170" w:type="dxa"/>
          </w:tcPr>
          <w:p w:rsidR="00CD732C" w:rsidRPr="004C7ABE" w:rsidRDefault="00CD732C" w:rsidP="004B798A">
            <w:pPr>
              <w:spacing w:before="60" w:after="60" w:line="240" w:lineRule="atLeast"/>
              <w:jc w:val="right"/>
              <w:rPr>
                <w:sz w:val="24"/>
                <w:szCs w:val="24"/>
              </w:rPr>
            </w:pPr>
          </w:p>
        </w:tc>
      </w:tr>
      <w:tr w:rsidR="00CD732C" w:rsidRPr="004C7ABE" w:rsidTr="004B798A">
        <w:tc>
          <w:tcPr>
            <w:tcW w:w="4219" w:type="dxa"/>
          </w:tcPr>
          <w:p w:rsidR="00CD732C" w:rsidRPr="004C7ABE" w:rsidRDefault="00CD732C" w:rsidP="004B798A">
            <w:pPr>
              <w:spacing w:before="60" w:after="60" w:line="240" w:lineRule="atLeast"/>
              <w:rPr>
                <w:sz w:val="24"/>
                <w:szCs w:val="24"/>
              </w:rPr>
            </w:pPr>
            <w:r w:rsidRPr="004C7ABE">
              <w:rPr>
                <w:sz w:val="24"/>
                <w:szCs w:val="24"/>
              </w:rPr>
              <w:t>Income before taxes</w:t>
            </w:r>
          </w:p>
        </w:tc>
        <w:tc>
          <w:tcPr>
            <w:tcW w:w="2359" w:type="dxa"/>
          </w:tcPr>
          <w:p w:rsidR="00CD732C" w:rsidRPr="004C7ABE" w:rsidRDefault="00CD732C" w:rsidP="004B798A">
            <w:pPr>
              <w:spacing w:before="60" w:after="60" w:line="240" w:lineRule="atLeast"/>
              <w:jc w:val="right"/>
              <w:rPr>
                <w:sz w:val="24"/>
                <w:szCs w:val="24"/>
              </w:rPr>
            </w:pPr>
            <w:r w:rsidRPr="004C7ABE">
              <w:rPr>
                <w:sz w:val="24"/>
                <w:szCs w:val="24"/>
              </w:rPr>
              <w:t>$5 million</w:t>
            </w:r>
          </w:p>
        </w:tc>
        <w:tc>
          <w:tcPr>
            <w:tcW w:w="2170" w:type="dxa"/>
          </w:tcPr>
          <w:p w:rsidR="00CD732C" w:rsidRPr="004C7ABE" w:rsidRDefault="00CD732C" w:rsidP="004B798A">
            <w:pPr>
              <w:spacing w:before="60" w:after="60" w:line="240" w:lineRule="atLeast"/>
              <w:jc w:val="right"/>
              <w:rPr>
                <w:sz w:val="24"/>
                <w:szCs w:val="24"/>
              </w:rPr>
            </w:pPr>
          </w:p>
        </w:tc>
      </w:tr>
      <w:tr w:rsidR="00CD732C" w:rsidRPr="004C7ABE" w:rsidTr="004B798A">
        <w:tc>
          <w:tcPr>
            <w:tcW w:w="4219" w:type="dxa"/>
          </w:tcPr>
          <w:p w:rsidR="00CD732C" w:rsidRPr="004C7ABE" w:rsidRDefault="00CD732C" w:rsidP="004B798A">
            <w:pPr>
              <w:spacing w:before="60" w:after="60" w:line="240" w:lineRule="atLeast"/>
              <w:rPr>
                <w:sz w:val="24"/>
                <w:szCs w:val="24"/>
              </w:rPr>
            </w:pPr>
            <w:r w:rsidRPr="004C7ABE">
              <w:rPr>
                <w:sz w:val="24"/>
                <w:szCs w:val="24"/>
              </w:rPr>
              <w:t>Allocated income taxes at 35%</w:t>
            </w:r>
          </w:p>
        </w:tc>
        <w:tc>
          <w:tcPr>
            <w:tcW w:w="2359" w:type="dxa"/>
          </w:tcPr>
          <w:p w:rsidR="00CD732C" w:rsidRPr="004C7ABE" w:rsidRDefault="00CD732C" w:rsidP="004B798A">
            <w:pPr>
              <w:spacing w:before="60" w:after="60" w:line="240" w:lineRule="atLeast"/>
              <w:jc w:val="right"/>
              <w:rPr>
                <w:sz w:val="24"/>
                <w:szCs w:val="24"/>
              </w:rPr>
            </w:pPr>
            <w:r w:rsidRPr="004C7ABE">
              <w:rPr>
                <w:sz w:val="24"/>
                <w:szCs w:val="24"/>
              </w:rPr>
              <w:t>$1.75 million</w:t>
            </w:r>
          </w:p>
        </w:tc>
        <w:tc>
          <w:tcPr>
            <w:tcW w:w="2170" w:type="dxa"/>
          </w:tcPr>
          <w:p w:rsidR="00CD732C" w:rsidRPr="004C7ABE" w:rsidRDefault="00CD732C" w:rsidP="004B798A">
            <w:pPr>
              <w:spacing w:before="60" w:after="60" w:line="240" w:lineRule="atLeast"/>
              <w:jc w:val="right"/>
              <w:rPr>
                <w:sz w:val="24"/>
                <w:szCs w:val="24"/>
              </w:rPr>
            </w:pPr>
          </w:p>
        </w:tc>
      </w:tr>
      <w:tr w:rsidR="00CD732C" w:rsidRPr="004C7ABE" w:rsidTr="004B798A">
        <w:tc>
          <w:tcPr>
            <w:tcW w:w="4219" w:type="dxa"/>
          </w:tcPr>
          <w:p w:rsidR="00CD732C" w:rsidRPr="004C7ABE" w:rsidRDefault="00CD732C" w:rsidP="004B798A">
            <w:pPr>
              <w:spacing w:before="60" w:after="60" w:line="240" w:lineRule="atLeast"/>
              <w:rPr>
                <w:sz w:val="24"/>
                <w:szCs w:val="24"/>
              </w:rPr>
            </w:pPr>
            <w:r w:rsidRPr="004C7ABE">
              <w:rPr>
                <w:sz w:val="24"/>
                <w:szCs w:val="24"/>
              </w:rPr>
              <w:t>Net income</w:t>
            </w:r>
          </w:p>
        </w:tc>
        <w:tc>
          <w:tcPr>
            <w:tcW w:w="2359" w:type="dxa"/>
          </w:tcPr>
          <w:p w:rsidR="00CD732C" w:rsidRPr="004C7ABE" w:rsidRDefault="00CD732C" w:rsidP="004B798A">
            <w:pPr>
              <w:spacing w:before="60" w:after="60" w:line="240" w:lineRule="atLeast"/>
              <w:jc w:val="right"/>
              <w:rPr>
                <w:sz w:val="24"/>
                <w:szCs w:val="24"/>
              </w:rPr>
            </w:pPr>
            <w:r w:rsidRPr="004C7ABE">
              <w:rPr>
                <w:sz w:val="24"/>
                <w:szCs w:val="24"/>
              </w:rPr>
              <w:t>$3.25 million</w:t>
            </w:r>
          </w:p>
        </w:tc>
        <w:tc>
          <w:tcPr>
            <w:tcW w:w="2170" w:type="dxa"/>
          </w:tcPr>
          <w:p w:rsidR="00CD732C" w:rsidRPr="004C7ABE" w:rsidRDefault="00CD732C" w:rsidP="004B798A">
            <w:pPr>
              <w:spacing w:before="60" w:after="60" w:line="240" w:lineRule="atLeast"/>
              <w:jc w:val="right"/>
              <w:rPr>
                <w:sz w:val="24"/>
                <w:szCs w:val="24"/>
              </w:rPr>
            </w:pPr>
          </w:p>
        </w:tc>
      </w:tr>
      <w:tr w:rsidR="00CD732C" w:rsidRPr="004C7ABE" w:rsidTr="004B798A">
        <w:tc>
          <w:tcPr>
            <w:tcW w:w="4219" w:type="dxa"/>
          </w:tcPr>
          <w:p w:rsidR="00CD732C" w:rsidRPr="004C7ABE" w:rsidRDefault="00CD732C" w:rsidP="004B798A">
            <w:pPr>
              <w:spacing w:before="60" w:after="60" w:line="240" w:lineRule="atLeast"/>
              <w:rPr>
                <w:sz w:val="24"/>
                <w:szCs w:val="24"/>
              </w:rPr>
            </w:pPr>
            <w:r w:rsidRPr="004C7ABE">
              <w:rPr>
                <w:sz w:val="24"/>
                <w:szCs w:val="24"/>
              </w:rPr>
              <w:t>Net after tax cash flow</w:t>
            </w:r>
          </w:p>
        </w:tc>
        <w:tc>
          <w:tcPr>
            <w:tcW w:w="2359" w:type="dxa"/>
          </w:tcPr>
          <w:p w:rsidR="00CD732C" w:rsidRPr="004C7ABE" w:rsidRDefault="00CD732C" w:rsidP="004B798A">
            <w:pPr>
              <w:spacing w:before="60" w:after="60" w:line="240" w:lineRule="atLeast"/>
              <w:jc w:val="right"/>
              <w:rPr>
                <w:sz w:val="24"/>
                <w:szCs w:val="24"/>
              </w:rPr>
            </w:pPr>
            <w:r w:rsidRPr="004C7ABE">
              <w:rPr>
                <w:sz w:val="24"/>
                <w:szCs w:val="24"/>
              </w:rPr>
              <w:t>$6 million</w:t>
            </w:r>
          </w:p>
        </w:tc>
        <w:tc>
          <w:tcPr>
            <w:tcW w:w="2170" w:type="dxa"/>
          </w:tcPr>
          <w:p w:rsidR="00CD732C" w:rsidRPr="004C7ABE" w:rsidRDefault="00CD732C" w:rsidP="004B798A">
            <w:pPr>
              <w:spacing w:before="60" w:after="60" w:line="240" w:lineRule="atLeast"/>
              <w:jc w:val="right"/>
              <w:rPr>
                <w:sz w:val="24"/>
                <w:szCs w:val="24"/>
              </w:rPr>
            </w:pPr>
          </w:p>
        </w:tc>
      </w:tr>
      <w:tr w:rsidR="00CD732C" w:rsidRPr="004C7ABE" w:rsidTr="004B798A">
        <w:tblPrEx>
          <w:tblLook w:val="0000" w:firstRow="0" w:lastRow="0" w:firstColumn="0" w:lastColumn="0" w:noHBand="0" w:noVBand="0"/>
        </w:tblPrEx>
        <w:trPr>
          <w:trHeight w:val="195"/>
        </w:trPr>
        <w:tc>
          <w:tcPr>
            <w:tcW w:w="4219" w:type="dxa"/>
            <w:shd w:val="clear" w:color="auto" w:fill="auto"/>
          </w:tcPr>
          <w:p w:rsidR="00CD732C" w:rsidRPr="004C7ABE" w:rsidRDefault="00CD732C" w:rsidP="004B798A">
            <w:pPr>
              <w:spacing w:before="60" w:after="60" w:line="240" w:lineRule="atLeast"/>
              <w:rPr>
                <w:sz w:val="24"/>
                <w:szCs w:val="24"/>
              </w:rPr>
            </w:pPr>
            <w:r w:rsidRPr="004C7ABE">
              <w:rPr>
                <w:sz w:val="24"/>
                <w:szCs w:val="24"/>
              </w:rPr>
              <w:t>Boats sold in fiscal 2011</w:t>
            </w:r>
          </w:p>
        </w:tc>
        <w:tc>
          <w:tcPr>
            <w:tcW w:w="2359" w:type="dxa"/>
            <w:shd w:val="clear" w:color="auto" w:fill="auto"/>
          </w:tcPr>
          <w:p w:rsidR="00CD732C" w:rsidRPr="004C7ABE" w:rsidRDefault="00CD732C" w:rsidP="004B798A">
            <w:pPr>
              <w:spacing w:before="60" w:after="60" w:line="240" w:lineRule="atLeast"/>
              <w:jc w:val="right"/>
              <w:rPr>
                <w:sz w:val="24"/>
                <w:szCs w:val="24"/>
              </w:rPr>
            </w:pPr>
            <w:r w:rsidRPr="004C7ABE">
              <w:rPr>
                <w:sz w:val="24"/>
                <w:szCs w:val="24"/>
              </w:rPr>
              <w:t>1,400</w:t>
            </w:r>
          </w:p>
        </w:tc>
        <w:tc>
          <w:tcPr>
            <w:tcW w:w="2170" w:type="dxa"/>
          </w:tcPr>
          <w:p w:rsidR="00CD732C" w:rsidRPr="004C7ABE" w:rsidRDefault="00CD732C" w:rsidP="004B798A">
            <w:pPr>
              <w:spacing w:before="60" w:after="60" w:line="240" w:lineRule="atLeast"/>
              <w:jc w:val="right"/>
              <w:rPr>
                <w:sz w:val="24"/>
                <w:szCs w:val="24"/>
              </w:rPr>
            </w:pPr>
          </w:p>
        </w:tc>
      </w:tr>
    </w:tbl>
    <w:p w:rsidR="00CD732C" w:rsidRPr="004C7ABE" w:rsidRDefault="00CD732C" w:rsidP="00CD732C">
      <w:pPr>
        <w:rPr>
          <w:sz w:val="24"/>
          <w:szCs w:val="24"/>
        </w:rPr>
      </w:pPr>
    </w:p>
    <w:p w:rsidR="00CD732C" w:rsidRPr="004C7ABE" w:rsidRDefault="00CD732C" w:rsidP="00CD732C">
      <w:pPr>
        <w:rPr>
          <w:sz w:val="24"/>
          <w:szCs w:val="24"/>
        </w:rPr>
      </w:pPr>
      <w:r w:rsidRPr="004C7ABE">
        <w:rPr>
          <w:sz w:val="24"/>
          <w:szCs w:val="24"/>
        </w:rPr>
        <w:t>Balance sheet financial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592"/>
      </w:tblGrid>
      <w:tr w:rsidR="00CD732C" w:rsidRPr="004C7ABE" w:rsidTr="004B798A">
        <w:tc>
          <w:tcPr>
            <w:tcW w:w="4788" w:type="dxa"/>
            <w:shd w:val="clear" w:color="auto" w:fill="FFFFCC"/>
          </w:tcPr>
          <w:p w:rsidR="00CD732C" w:rsidRPr="004C7ABE" w:rsidRDefault="00CD732C" w:rsidP="004B798A">
            <w:pPr>
              <w:spacing w:before="60" w:after="60" w:line="240" w:lineRule="atLeast"/>
              <w:jc w:val="center"/>
              <w:rPr>
                <w:b/>
                <w:sz w:val="24"/>
                <w:szCs w:val="24"/>
              </w:rPr>
            </w:pPr>
          </w:p>
        </w:tc>
        <w:tc>
          <w:tcPr>
            <w:tcW w:w="2592" w:type="dxa"/>
            <w:shd w:val="clear" w:color="auto" w:fill="FFFFCC"/>
          </w:tcPr>
          <w:p w:rsidR="00CD732C" w:rsidRPr="004C7ABE" w:rsidRDefault="00CD732C" w:rsidP="004B798A">
            <w:pPr>
              <w:spacing w:before="60" w:after="60" w:line="240" w:lineRule="atLeast"/>
              <w:jc w:val="center"/>
              <w:rPr>
                <w:b/>
                <w:sz w:val="24"/>
                <w:szCs w:val="24"/>
              </w:rPr>
            </w:pPr>
            <w:r w:rsidRPr="004C7ABE">
              <w:rPr>
                <w:b/>
                <w:sz w:val="24"/>
                <w:szCs w:val="24"/>
              </w:rPr>
              <w:t>Fiscal year ended</w:t>
            </w:r>
          </w:p>
          <w:p w:rsidR="00CD732C" w:rsidRPr="004C7ABE" w:rsidRDefault="00CD732C" w:rsidP="004B798A">
            <w:pPr>
              <w:spacing w:before="60" w:after="60" w:line="240" w:lineRule="atLeast"/>
              <w:jc w:val="center"/>
              <w:rPr>
                <w:b/>
                <w:sz w:val="24"/>
                <w:szCs w:val="24"/>
              </w:rPr>
            </w:pPr>
            <w:smartTag w:uri="urn:schemas-microsoft-com:office:smarttags" w:element="date">
              <w:smartTagPr>
                <w:attr w:name="Year" w:val="2011"/>
                <w:attr w:name="Day" w:val="30"/>
                <w:attr w:name="Month" w:val="11"/>
                <w:attr w:name="ls" w:val="trans"/>
              </w:smartTagPr>
              <w:r w:rsidRPr="004C7ABE">
                <w:rPr>
                  <w:b/>
                  <w:sz w:val="24"/>
                  <w:szCs w:val="24"/>
                </w:rPr>
                <w:t>November 30, 2011</w:t>
              </w:r>
            </w:smartTag>
          </w:p>
        </w:tc>
      </w:tr>
      <w:tr w:rsidR="00CD732C" w:rsidRPr="004C7ABE" w:rsidTr="004B798A">
        <w:tc>
          <w:tcPr>
            <w:tcW w:w="4788" w:type="dxa"/>
          </w:tcPr>
          <w:p w:rsidR="00CD732C" w:rsidRPr="004C7ABE" w:rsidRDefault="00CD732C" w:rsidP="004B798A">
            <w:pPr>
              <w:spacing w:before="60" w:after="60" w:line="240" w:lineRule="atLeast"/>
              <w:rPr>
                <w:sz w:val="24"/>
                <w:szCs w:val="24"/>
              </w:rPr>
            </w:pPr>
            <w:r w:rsidRPr="004C7ABE">
              <w:rPr>
                <w:sz w:val="24"/>
                <w:szCs w:val="24"/>
              </w:rPr>
              <w:t>Total assets</w:t>
            </w:r>
          </w:p>
        </w:tc>
        <w:tc>
          <w:tcPr>
            <w:tcW w:w="2592" w:type="dxa"/>
          </w:tcPr>
          <w:p w:rsidR="00CD732C" w:rsidRPr="004C7ABE" w:rsidRDefault="00CD732C" w:rsidP="004B798A">
            <w:pPr>
              <w:spacing w:before="60" w:after="60" w:line="240" w:lineRule="atLeast"/>
              <w:jc w:val="right"/>
              <w:rPr>
                <w:sz w:val="24"/>
                <w:szCs w:val="24"/>
              </w:rPr>
            </w:pPr>
            <w:r w:rsidRPr="004C7ABE">
              <w:rPr>
                <w:sz w:val="24"/>
                <w:szCs w:val="24"/>
              </w:rPr>
              <w:t>$45 million</w:t>
            </w:r>
          </w:p>
        </w:tc>
      </w:tr>
      <w:tr w:rsidR="00CD732C" w:rsidRPr="004C7ABE" w:rsidTr="004B798A">
        <w:tc>
          <w:tcPr>
            <w:tcW w:w="4788" w:type="dxa"/>
          </w:tcPr>
          <w:p w:rsidR="00CD732C" w:rsidRPr="004C7ABE" w:rsidRDefault="00CD732C" w:rsidP="004B798A">
            <w:pPr>
              <w:spacing w:before="60" w:after="60" w:line="240" w:lineRule="atLeast"/>
              <w:rPr>
                <w:sz w:val="24"/>
                <w:szCs w:val="24"/>
              </w:rPr>
            </w:pPr>
            <w:r w:rsidRPr="004C7ABE">
              <w:rPr>
                <w:sz w:val="24"/>
                <w:szCs w:val="24"/>
              </w:rPr>
              <w:t>Total debt</w:t>
            </w:r>
          </w:p>
        </w:tc>
        <w:tc>
          <w:tcPr>
            <w:tcW w:w="2592" w:type="dxa"/>
          </w:tcPr>
          <w:p w:rsidR="00CD732C" w:rsidRPr="004C7ABE" w:rsidRDefault="00CD732C" w:rsidP="004B798A">
            <w:pPr>
              <w:spacing w:before="60" w:after="60" w:line="240" w:lineRule="atLeast"/>
              <w:jc w:val="right"/>
              <w:rPr>
                <w:sz w:val="24"/>
                <w:szCs w:val="24"/>
              </w:rPr>
            </w:pPr>
            <w:r w:rsidRPr="004C7ABE">
              <w:rPr>
                <w:sz w:val="24"/>
                <w:szCs w:val="24"/>
              </w:rPr>
              <w:t>$19 million</w:t>
            </w:r>
          </w:p>
        </w:tc>
      </w:tr>
      <w:tr w:rsidR="00CD732C" w:rsidRPr="004C7ABE" w:rsidTr="004B798A">
        <w:tc>
          <w:tcPr>
            <w:tcW w:w="4788" w:type="dxa"/>
          </w:tcPr>
          <w:p w:rsidR="00CD732C" w:rsidRPr="004C7ABE" w:rsidRDefault="00CD732C" w:rsidP="004B798A">
            <w:pPr>
              <w:spacing w:before="60" w:after="60" w:line="240" w:lineRule="atLeast"/>
              <w:rPr>
                <w:sz w:val="24"/>
                <w:szCs w:val="24"/>
              </w:rPr>
            </w:pPr>
            <w:r w:rsidRPr="004C7ABE">
              <w:rPr>
                <w:sz w:val="24"/>
                <w:szCs w:val="24"/>
              </w:rPr>
              <w:t>Total equity</w:t>
            </w:r>
          </w:p>
        </w:tc>
        <w:tc>
          <w:tcPr>
            <w:tcW w:w="2592" w:type="dxa"/>
          </w:tcPr>
          <w:p w:rsidR="00CD732C" w:rsidRPr="004C7ABE" w:rsidRDefault="00CD732C" w:rsidP="004B798A">
            <w:pPr>
              <w:spacing w:before="60" w:after="60" w:line="240" w:lineRule="atLeast"/>
              <w:jc w:val="right"/>
              <w:rPr>
                <w:sz w:val="24"/>
                <w:szCs w:val="24"/>
              </w:rPr>
            </w:pPr>
            <w:r w:rsidRPr="004C7ABE">
              <w:rPr>
                <w:sz w:val="24"/>
                <w:szCs w:val="24"/>
              </w:rPr>
              <w:t>$26 million</w:t>
            </w:r>
          </w:p>
        </w:tc>
      </w:tr>
      <w:tr w:rsidR="00CD732C" w:rsidRPr="004C7ABE" w:rsidTr="004B798A">
        <w:tc>
          <w:tcPr>
            <w:tcW w:w="4788" w:type="dxa"/>
          </w:tcPr>
          <w:p w:rsidR="00CD732C" w:rsidRPr="004C7ABE" w:rsidRDefault="00CD732C" w:rsidP="004B798A">
            <w:pPr>
              <w:spacing w:before="60" w:after="60" w:line="240" w:lineRule="atLeast"/>
              <w:rPr>
                <w:sz w:val="24"/>
                <w:szCs w:val="24"/>
              </w:rPr>
            </w:pPr>
            <w:r w:rsidRPr="004C7ABE">
              <w:rPr>
                <w:sz w:val="24"/>
                <w:szCs w:val="24"/>
              </w:rPr>
              <w:t>Latest fiscal year earnings</w:t>
            </w:r>
          </w:p>
        </w:tc>
        <w:tc>
          <w:tcPr>
            <w:tcW w:w="2592" w:type="dxa"/>
          </w:tcPr>
          <w:p w:rsidR="00CD732C" w:rsidRPr="004C7ABE" w:rsidRDefault="00CD732C" w:rsidP="004B798A">
            <w:pPr>
              <w:spacing w:before="60" w:after="60" w:line="240" w:lineRule="atLeast"/>
              <w:jc w:val="right"/>
              <w:rPr>
                <w:sz w:val="24"/>
                <w:szCs w:val="24"/>
              </w:rPr>
            </w:pPr>
            <w:r w:rsidRPr="004C7ABE">
              <w:rPr>
                <w:sz w:val="24"/>
                <w:szCs w:val="24"/>
              </w:rPr>
              <w:t>$3.25 million</w:t>
            </w:r>
          </w:p>
        </w:tc>
      </w:tr>
      <w:tr w:rsidR="00CD732C" w:rsidRPr="004C7ABE" w:rsidTr="004B798A">
        <w:tc>
          <w:tcPr>
            <w:tcW w:w="4788" w:type="dxa"/>
          </w:tcPr>
          <w:p w:rsidR="00CD732C" w:rsidRPr="004C7ABE" w:rsidRDefault="00CD732C" w:rsidP="004B798A">
            <w:pPr>
              <w:spacing w:before="60" w:after="60" w:line="240" w:lineRule="atLeast"/>
              <w:rPr>
                <w:sz w:val="24"/>
                <w:szCs w:val="24"/>
              </w:rPr>
            </w:pPr>
            <w:r w:rsidRPr="004C7ABE">
              <w:rPr>
                <w:sz w:val="24"/>
                <w:szCs w:val="24"/>
              </w:rPr>
              <w:t>Latest fiscal year return on equity</w:t>
            </w:r>
          </w:p>
        </w:tc>
        <w:tc>
          <w:tcPr>
            <w:tcW w:w="2592" w:type="dxa"/>
          </w:tcPr>
          <w:p w:rsidR="00CD732C" w:rsidRPr="004C7ABE" w:rsidRDefault="00CD732C" w:rsidP="004B798A">
            <w:pPr>
              <w:spacing w:before="60" w:after="60" w:line="240" w:lineRule="atLeast"/>
              <w:jc w:val="right"/>
              <w:rPr>
                <w:sz w:val="24"/>
                <w:szCs w:val="24"/>
              </w:rPr>
            </w:pPr>
            <w:r w:rsidRPr="004C7ABE">
              <w:rPr>
                <w:sz w:val="24"/>
                <w:szCs w:val="24"/>
              </w:rPr>
              <w:t>12.5%</w:t>
            </w:r>
          </w:p>
        </w:tc>
      </w:tr>
      <w:tr w:rsidR="00CD732C" w:rsidRPr="004C7ABE" w:rsidTr="004B798A">
        <w:tc>
          <w:tcPr>
            <w:tcW w:w="4788" w:type="dxa"/>
          </w:tcPr>
          <w:p w:rsidR="00CD732C" w:rsidRPr="004C7ABE" w:rsidRDefault="00CD732C" w:rsidP="004B798A">
            <w:pPr>
              <w:spacing w:before="60" w:after="60" w:line="240" w:lineRule="atLeast"/>
              <w:rPr>
                <w:sz w:val="24"/>
                <w:szCs w:val="24"/>
              </w:rPr>
            </w:pPr>
            <w:r w:rsidRPr="004C7ABE">
              <w:rPr>
                <w:sz w:val="24"/>
                <w:szCs w:val="24"/>
              </w:rPr>
              <w:t>Earnings per boat</w:t>
            </w:r>
          </w:p>
        </w:tc>
        <w:tc>
          <w:tcPr>
            <w:tcW w:w="2592" w:type="dxa"/>
          </w:tcPr>
          <w:p w:rsidR="00CD732C" w:rsidRPr="004C7ABE" w:rsidRDefault="00CD732C" w:rsidP="004B798A">
            <w:pPr>
              <w:spacing w:before="60" w:after="60" w:line="240" w:lineRule="atLeast"/>
              <w:jc w:val="right"/>
              <w:rPr>
                <w:sz w:val="24"/>
                <w:szCs w:val="24"/>
              </w:rPr>
            </w:pPr>
            <w:r w:rsidRPr="004C7ABE">
              <w:rPr>
                <w:sz w:val="24"/>
                <w:szCs w:val="24"/>
              </w:rPr>
              <w:t>$2,300</w:t>
            </w:r>
          </w:p>
        </w:tc>
      </w:tr>
    </w:tbl>
    <w:p w:rsidR="00CD732C" w:rsidRDefault="00CD732C" w:rsidP="00CD732C">
      <w:pPr>
        <w:rPr>
          <w:sz w:val="24"/>
          <w:szCs w:val="24"/>
        </w:rPr>
      </w:pPr>
    </w:p>
    <w:p w:rsidR="00CD732C" w:rsidRDefault="00CD732C" w:rsidP="00CD732C">
      <w:pPr>
        <w:jc w:val="both"/>
        <w:rPr>
          <w:sz w:val="24"/>
          <w:szCs w:val="24"/>
        </w:rPr>
      </w:pPr>
      <w:r w:rsidRPr="004C7ABE">
        <w:rPr>
          <w:sz w:val="24"/>
          <w:szCs w:val="24"/>
        </w:rPr>
        <w:t>Sun Ray Boats has a good reputation in the industry and their construction has always been the best in the small boat leisure and fishing-class category.</w:t>
      </w:r>
      <w:r>
        <w:rPr>
          <w:sz w:val="24"/>
          <w:szCs w:val="24"/>
        </w:rPr>
        <w:t xml:space="preserve"> </w:t>
      </w:r>
      <w:r w:rsidRPr="004C7ABE">
        <w:rPr>
          <w:sz w:val="24"/>
          <w:szCs w:val="24"/>
        </w:rPr>
        <w:t>AE identified two private manufacturers similar in size that have changed hands within the last 18 months.  These are Dolphin Boats and Key West Boats.  Following is the financial information for these entities:</w:t>
      </w:r>
    </w:p>
    <w:p w:rsidR="00CD732C" w:rsidRDefault="00CD732C" w:rsidP="00CD732C">
      <w:pPr>
        <w:jc w:val="both"/>
        <w:rPr>
          <w:sz w:val="24"/>
          <w:szCs w:val="24"/>
        </w:rPr>
      </w:pPr>
    </w:p>
    <w:p w:rsidR="00CD732C" w:rsidRDefault="00CD732C" w:rsidP="00CD732C">
      <w:pPr>
        <w:jc w:val="both"/>
        <w:rPr>
          <w:sz w:val="24"/>
          <w:szCs w:val="24"/>
        </w:rPr>
      </w:pPr>
    </w:p>
    <w:p w:rsidR="00CD732C" w:rsidRPr="004C7ABE" w:rsidRDefault="00CD732C" w:rsidP="00CD732C">
      <w:pPr>
        <w:jc w:val="both"/>
        <w:rPr>
          <w:sz w:val="24"/>
          <w:szCs w:val="24"/>
        </w:rPr>
      </w:pPr>
      <w:bookmarkStart w:id="0" w:name="_GoBack"/>
      <w:bookmarkEnd w:id="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3082"/>
        <w:gridCol w:w="3078"/>
      </w:tblGrid>
      <w:tr w:rsidR="00CD732C" w:rsidRPr="004C7ABE" w:rsidTr="004B798A">
        <w:tc>
          <w:tcPr>
            <w:tcW w:w="3194" w:type="dxa"/>
            <w:shd w:val="clear" w:color="auto" w:fill="FFFFCC"/>
          </w:tcPr>
          <w:p w:rsidR="00CD732C" w:rsidRPr="004C7ABE" w:rsidRDefault="00CD732C" w:rsidP="004B798A">
            <w:pPr>
              <w:spacing w:before="60" w:after="60" w:line="240" w:lineRule="atLeast"/>
              <w:jc w:val="center"/>
              <w:rPr>
                <w:b/>
                <w:sz w:val="24"/>
                <w:szCs w:val="24"/>
              </w:rPr>
            </w:pPr>
          </w:p>
        </w:tc>
        <w:tc>
          <w:tcPr>
            <w:tcW w:w="3195" w:type="dxa"/>
            <w:shd w:val="clear" w:color="auto" w:fill="FFFFCC"/>
          </w:tcPr>
          <w:p w:rsidR="00CD732C" w:rsidRPr="004C7ABE" w:rsidRDefault="00CD732C" w:rsidP="004B798A">
            <w:pPr>
              <w:spacing w:before="60" w:after="60" w:line="240" w:lineRule="atLeast"/>
              <w:jc w:val="center"/>
              <w:rPr>
                <w:b/>
                <w:sz w:val="24"/>
                <w:szCs w:val="24"/>
              </w:rPr>
            </w:pPr>
            <w:r w:rsidRPr="004C7ABE">
              <w:rPr>
                <w:b/>
                <w:sz w:val="24"/>
                <w:szCs w:val="24"/>
              </w:rPr>
              <w:t>Dolphin Boats</w:t>
            </w:r>
          </w:p>
        </w:tc>
        <w:tc>
          <w:tcPr>
            <w:tcW w:w="3191" w:type="dxa"/>
            <w:shd w:val="clear" w:color="auto" w:fill="FFFFCC"/>
          </w:tcPr>
          <w:p w:rsidR="00CD732C" w:rsidRPr="004C7ABE" w:rsidRDefault="00CD732C" w:rsidP="004B798A">
            <w:pPr>
              <w:spacing w:before="60" w:after="60" w:line="240" w:lineRule="atLeast"/>
              <w:jc w:val="center"/>
              <w:rPr>
                <w:b/>
                <w:sz w:val="24"/>
                <w:szCs w:val="24"/>
              </w:rPr>
            </w:pPr>
            <w:smartTag w:uri="urn:schemas-microsoft-com:office:smarttags" w:element="City">
              <w:smartTag w:uri="urn:schemas-microsoft-com:office:smarttags" w:element="place">
                <w:r w:rsidRPr="004C7ABE">
                  <w:rPr>
                    <w:b/>
                    <w:sz w:val="24"/>
                    <w:szCs w:val="24"/>
                  </w:rPr>
                  <w:t>Key West</w:t>
                </w:r>
              </w:smartTag>
            </w:smartTag>
            <w:r w:rsidRPr="004C7ABE">
              <w:rPr>
                <w:b/>
                <w:sz w:val="24"/>
                <w:szCs w:val="24"/>
              </w:rPr>
              <w:t xml:space="preserve"> Boats</w:t>
            </w:r>
          </w:p>
        </w:tc>
      </w:tr>
      <w:tr w:rsidR="00CD732C" w:rsidRPr="004C7ABE" w:rsidTr="004B798A">
        <w:tc>
          <w:tcPr>
            <w:tcW w:w="3194" w:type="dxa"/>
          </w:tcPr>
          <w:p w:rsidR="00CD732C" w:rsidRPr="004C7ABE" w:rsidRDefault="00CD732C" w:rsidP="004B798A">
            <w:pPr>
              <w:spacing w:before="60" w:after="60" w:line="240" w:lineRule="atLeast"/>
              <w:rPr>
                <w:sz w:val="24"/>
                <w:szCs w:val="24"/>
              </w:rPr>
            </w:pPr>
            <w:r w:rsidRPr="004C7ABE">
              <w:rPr>
                <w:sz w:val="24"/>
                <w:szCs w:val="24"/>
              </w:rPr>
              <w:t>Total assets</w:t>
            </w:r>
          </w:p>
        </w:tc>
        <w:tc>
          <w:tcPr>
            <w:tcW w:w="3195" w:type="dxa"/>
          </w:tcPr>
          <w:p w:rsidR="00CD732C" w:rsidRPr="004C7ABE" w:rsidRDefault="00CD732C" w:rsidP="004B798A">
            <w:pPr>
              <w:spacing w:before="60" w:after="60" w:line="240" w:lineRule="atLeast"/>
              <w:jc w:val="right"/>
              <w:rPr>
                <w:sz w:val="24"/>
                <w:szCs w:val="24"/>
              </w:rPr>
            </w:pPr>
            <w:r w:rsidRPr="004C7ABE">
              <w:rPr>
                <w:sz w:val="24"/>
                <w:szCs w:val="24"/>
              </w:rPr>
              <w:t>$   35 million</w:t>
            </w:r>
          </w:p>
        </w:tc>
        <w:tc>
          <w:tcPr>
            <w:tcW w:w="3191" w:type="dxa"/>
          </w:tcPr>
          <w:p w:rsidR="00CD732C" w:rsidRPr="004C7ABE" w:rsidRDefault="00CD732C" w:rsidP="004B798A">
            <w:pPr>
              <w:spacing w:before="60" w:after="60" w:line="240" w:lineRule="atLeast"/>
              <w:jc w:val="right"/>
              <w:rPr>
                <w:sz w:val="24"/>
                <w:szCs w:val="24"/>
              </w:rPr>
            </w:pPr>
            <w:r w:rsidRPr="004C7ABE">
              <w:rPr>
                <w:sz w:val="24"/>
                <w:szCs w:val="24"/>
              </w:rPr>
              <w:t>$50 million</w:t>
            </w:r>
          </w:p>
        </w:tc>
      </w:tr>
      <w:tr w:rsidR="00CD732C" w:rsidRPr="004C7ABE" w:rsidTr="004B798A">
        <w:tc>
          <w:tcPr>
            <w:tcW w:w="3194" w:type="dxa"/>
          </w:tcPr>
          <w:p w:rsidR="00CD732C" w:rsidRPr="004C7ABE" w:rsidRDefault="00CD732C" w:rsidP="004B798A">
            <w:pPr>
              <w:spacing w:before="60" w:after="60" w:line="240" w:lineRule="atLeast"/>
              <w:rPr>
                <w:sz w:val="24"/>
                <w:szCs w:val="24"/>
              </w:rPr>
            </w:pPr>
            <w:r w:rsidRPr="004C7ABE">
              <w:rPr>
                <w:sz w:val="24"/>
                <w:szCs w:val="24"/>
              </w:rPr>
              <w:t>Total debt</w:t>
            </w:r>
          </w:p>
        </w:tc>
        <w:tc>
          <w:tcPr>
            <w:tcW w:w="3195" w:type="dxa"/>
          </w:tcPr>
          <w:p w:rsidR="00CD732C" w:rsidRPr="004C7ABE" w:rsidRDefault="00CD732C" w:rsidP="004B798A">
            <w:pPr>
              <w:spacing w:before="60" w:after="60" w:line="240" w:lineRule="atLeast"/>
              <w:jc w:val="right"/>
              <w:rPr>
                <w:sz w:val="24"/>
                <w:szCs w:val="24"/>
              </w:rPr>
            </w:pPr>
            <w:r w:rsidRPr="004C7ABE">
              <w:rPr>
                <w:sz w:val="24"/>
                <w:szCs w:val="24"/>
              </w:rPr>
              <w:t>$22.5 million</w:t>
            </w:r>
          </w:p>
        </w:tc>
        <w:tc>
          <w:tcPr>
            <w:tcW w:w="3191" w:type="dxa"/>
          </w:tcPr>
          <w:p w:rsidR="00CD732C" w:rsidRPr="004C7ABE" w:rsidRDefault="00CD732C" w:rsidP="004B798A">
            <w:pPr>
              <w:spacing w:before="60" w:after="60" w:line="240" w:lineRule="atLeast"/>
              <w:jc w:val="right"/>
              <w:rPr>
                <w:sz w:val="24"/>
                <w:szCs w:val="24"/>
              </w:rPr>
            </w:pPr>
            <w:r w:rsidRPr="004C7ABE">
              <w:rPr>
                <w:sz w:val="24"/>
                <w:szCs w:val="24"/>
              </w:rPr>
              <w:t>$25 million</w:t>
            </w:r>
          </w:p>
        </w:tc>
      </w:tr>
      <w:tr w:rsidR="00CD732C" w:rsidRPr="004C7ABE" w:rsidTr="004B798A">
        <w:tc>
          <w:tcPr>
            <w:tcW w:w="3194" w:type="dxa"/>
          </w:tcPr>
          <w:p w:rsidR="00CD732C" w:rsidRPr="004C7ABE" w:rsidRDefault="00CD732C" w:rsidP="004B798A">
            <w:pPr>
              <w:spacing w:before="60" w:after="60" w:line="240" w:lineRule="atLeast"/>
              <w:rPr>
                <w:sz w:val="24"/>
                <w:szCs w:val="24"/>
              </w:rPr>
            </w:pPr>
            <w:r w:rsidRPr="004C7ABE">
              <w:rPr>
                <w:sz w:val="24"/>
                <w:szCs w:val="24"/>
              </w:rPr>
              <w:t>Total equity</w:t>
            </w:r>
          </w:p>
        </w:tc>
        <w:tc>
          <w:tcPr>
            <w:tcW w:w="3195" w:type="dxa"/>
          </w:tcPr>
          <w:p w:rsidR="00CD732C" w:rsidRPr="004C7ABE" w:rsidRDefault="00CD732C" w:rsidP="004B798A">
            <w:pPr>
              <w:spacing w:before="60" w:after="60" w:line="240" w:lineRule="atLeast"/>
              <w:jc w:val="right"/>
              <w:rPr>
                <w:sz w:val="24"/>
                <w:szCs w:val="24"/>
              </w:rPr>
            </w:pPr>
            <w:r w:rsidRPr="004C7ABE">
              <w:rPr>
                <w:sz w:val="24"/>
                <w:szCs w:val="24"/>
              </w:rPr>
              <w:t>$12.5 million</w:t>
            </w:r>
          </w:p>
        </w:tc>
        <w:tc>
          <w:tcPr>
            <w:tcW w:w="3191" w:type="dxa"/>
          </w:tcPr>
          <w:p w:rsidR="00CD732C" w:rsidRPr="004C7ABE" w:rsidRDefault="00CD732C" w:rsidP="004B798A">
            <w:pPr>
              <w:spacing w:before="60" w:after="60" w:line="240" w:lineRule="atLeast"/>
              <w:jc w:val="right"/>
              <w:rPr>
                <w:sz w:val="24"/>
                <w:szCs w:val="24"/>
              </w:rPr>
            </w:pPr>
            <w:r w:rsidRPr="004C7ABE">
              <w:rPr>
                <w:sz w:val="24"/>
                <w:szCs w:val="24"/>
              </w:rPr>
              <w:t>$25 million</w:t>
            </w:r>
          </w:p>
        </w:tc>
      </w:tr>
      <w:tr w:rsidR="00CD732C" w:rsidRPr="004C7ABE" w:rsidTr="004B798A">
        <w:tc>
          <w:tcPr>
            <w:tcW w:w="3194" w:type="dxa"/>
          </w:tcPr>
          <w:p w:rsidR="00CD732C" w:rsidRPr="004C7ABE" w:rsidRDefault="00CD732C" w:rsidP="004B798A">
            <w:pPr>
              <w:spacing w:before="60" w:after="60" w:line="240" w:lineRule="atLeast"/>
              <w:rPr>
                <w:sz w:val="24"/>
                <w:szCs w:val="24"/>
              </w:rPr>
            </w:pPr>
            <w:r w:rsidRPr="004C7ABE">
              <w:rPr>
                <w:sz w:val="24"/>
                <w:szCs w:val="24"/>
              </w:rPr>
              <w:t>Latest fiscal year earnings</w:t>
            </w:r>
          </w:p>
        </w:tc>
        <w:tc>
          <w:tcPr>
            <w:tcW w:w="3195" w:type="dxa"/>
          </w:tcPr>
          <w:p w:rsidR="00CD732C" w:rsidRPr="004C7ABE" w:rsidRDefault="00CD732C" w:rsidP="004B798A">
            <w:pPr>
              <w:spacing w:before="60" w:after="60" w:line="240" w:lineRule="atLeast"/>
              <w:jc w:val="right"/>
              <w:rPr>
                <w:sz w:val="24"/>
                <w:szCs w:val="24"/>
              </w:rPr>
            </w:pPr>
            <w:r w:rsidRPr="004C7ABE">
              <w:rPr>
                <w:sz w:val="24"/>
                <w:szCs w:val="24"/>
              </w:rPr>
              <w:t>$1.5 million</w:t>
            </w:r>
          </w:p>
        </w:tc>
        <w:tc>
          <w:tcPr>
            <w:tcW w:w="3191" w:type="dxa"/>
          </w:tcPr>
          <w:p w:rsidR="00CD732C" w:rsidRPr="004C7ABE" w:rsidRDefault="00CD732C" w:rsidP="004B798A">
            <w:pPr>
              <w:spacing w:before="60" w:after="60" w:line="240" w:lineRule="atLeast"/>
              <w:jc w:val="right"/>
              <w:rPr>
                <w:sz w:val="24"/>
                <w:szCs w:val="24"/>
              </w:rPr>
            </w:pPr>
            <w:r w:rsidRPr="004C7ABE">
              <w:rPr>
                <w:sz w:val="24"/>
                <w:szCs w:val="24"/>
              </w:rPr>
              <w:t>$2.88 million</w:t>
            </w:r>
          </w:p>
        </w:tc>
      </w:tr>
      <w:tr w:rsidR="00CD732C" w:rsidRPr="004C7ABE" w:rsidTr="004B798A">
        <w:tc>
          <w:tcPr>
            <w:tcW w:w="3194" w:type="dxa"/>
          </w:tcPr>
          <w:p w:rsidR="00CD732C" w:rsidRPr="004C7ABE" w:rsidRDefault="00CD732C" w:rsidP="004B798A">
            <w:pPr>
              <w:spacing w:before="60" w:after="60" w:line="240" w:lineRule="atLeast"/>
              <w:rPr>
                <w:sz w:val="24"/>
                <w:szCs w:val="24"/>
              </w:rPr>
            </w:pPr>
            <w:r w:rsidRPr="004C7ABE">
              <w:rPr>
                <w:sz w:val="24"/>
                <w:szCs w:val="24"/>
              </w:rPr>
              <w:t>Fiscal year return on equity</w:t>
            </w:r>
          </w:p>
        </w:tc>
        <w:tc>
          <w:tcPr>
            <w:tcW w:w="3195" w:type="dxa"/>
          </w:tcPr>
          <w:p w:rsidR="00CD732C" w:rsidRPr="004C7ABE" w:rsidRDefault="00CD732C" w:rsidP="004B798A">
            <w:pPr>
              <w:spacing w:before="60" w:after="60" w:line="240" w:lineRule="atLeast"/>
              <w:jc w:val="right"/>
              <w:rPr>
                <w:sz w:val="24"/>
                <w:szCs w:val="24"/>
              </w:rPr>
            </w:pPr>
            <w:r w:rsidRPr="004C7ABE">
              <w:rPr>
                <w:sz w:val="24"/>
                <w:szCs w:val="24"/>
              </w:rPr>
              <w:t>12%</w:t>
            </w:r>
          </w:p>
        </w:tc>
        <w:tc>
          <w:tcPr>
            <w:tcW w:w="3191" w:type="dxa"/>
          </w:tcPr>
          <w:p w:rsidR="00CD732C" w:rsidRPr="004C7ABE" w:rsidRDefault="00CD732C" w:rsidP="004B798A">
            <w:pPr>
              <w:spacing w:before="60" w:after="60" w:line="240" w:lineRule="atLeast"/>
              <w:jc w:val="right"/>
              <w:rPr>
                <w:sz w:val="24"/>
                <w:szCs w:val="24"/>
              </w:rPr>
            </w:pPr>
            <w:r w:rsidRPr="004C7ABE">
              <w:rPr>
                <w:sz w:val="24"/>
                <w:szCs w:val="24"/>
              </w:rPr>
              <w:t>11.5%</w:t>
            </w:r>
          </w:p>
        </w:tc>
      </w:tr>
      <w:tr w:rsidR="00CD732C" w:rsidRPr="004C7ABE" w:rsidTr="004B798A">
        <w:tc>
          <w:tcPr>
            <w:tcW w:w="3194" w:type="dxa"/>
          </w:tcPr>
          <w:p w:rsidR="00CD732C" w:rsidRPr="004C7ABE" w:rsidRDefault="00CD732C" w:rsidP="004B798A">
            <w:pPr>
              <w:spacing w:before="60" w:after="60" w:line="240" w:lineRule="atLeast"/>
              <w:rPr>
                <w:sz w:val="24"/>
                <w:szCs w:val="24"/>
              </w:rPr>
            </w:pPr>
            <w:r w:rsidRPr="004C7ABE">
              <w:rPr>
                <w:sz w:val="24"/>
                <w:szCs w:val="24"/>
              </w:rPr>
              <w:t>Number of boats produced</w:t>
            </w:r>
          </w:p>
        </w:tc>
        <w:tc>
          <w:tcPr>
            <w:tcW w:w="3195" w:type="dxa"/>
          </w:tcPr>
          <w:p w:rsidR="00CD732C" w:rsidRPr="004C7ABE" w:rsidRDefault="00CD732C" w:rsidP="004B798A">
            <w:pPr>
              <w:spacing w:before="60" w:after="60" w:line="240" w:lineRule="atLeast"/>
              <w:jc w:val="right"/>
              <w:rPr>
                <w:sz w:val="24"/>
                <w:szCs w:val="24"/>
              </w:rPr>
            </w:pPr>
            <w:r w:rsidRPr="004C7ABE">
              <w:rPr>
                <w:sz w:val="24"/>
                <w:szCs w:val="24"/>
              </w:rPr>
              <w:t>1,000</w:t>
            </w:r>
          </w:p>
        </w:tc>
        <w:tc>
          <w:tcPr>
            <w:tcW w:w="3191" w:type="dxa"/>
          </w:tcPr>
          <w:p w:rsidR="00CD732C" w:rsidRPr="004C7ABE" w:rsidRDefault="00CD732C" w:rsidP="004B798A">
            <w:pPr>
              <w:spacing w:before="60" w:after="60" w:line="240" w:lineRule="atLeast"/>
              <w:jc w:val="right"/>
              <w:rPr>
                <w:sz w:val="24"/>
                <w:szCs w:val="24"/>
              </w:rPr>
            </w:pPr>
            <w:r w:rsidRPr="004C7ABE">
              <w:rPr>
                <w:sz w:val="24"/>
                <w:szCs w:val="24"/>
              </w:rPr>
              <w:t>1,600</w:t>
            </w:r>
          </w:p>
        </w:tc>
      </w:tr>
      <w:tr w:rsidR="00CD732C" w:rsidRPr="004C7ABE" w:rsidTr="004B798A">
        <w:tc>
          <w:tcPr>
            <w:tcW w:w="3194" w:type="dxa"/>
          </w:tcPr>
          <w:p w:rsidR="00CD732C" w:rsidRPr="004C7ABE" w:rsidRDefault="00CD732C" w:rsidP="004B798A">
            <w:pPr>
              <w:spacing w:before="60" w:after="60" w:line="240" w:lineRule="atLeast"/>
              <w:rPr>
                <w:sz w:val="24"/>
                <w:szCs w:val="24"/>
              </w:rPr>
            </w:pPr>
            <w:r w:rsidRPr="004C7ABE">
              <w:rPr>
                <w:sz w:val="24"/>
                <w:szCs w:val="24"/>
              </w:rPr>
              <w:t>Earnings per boat</w:t>
            </w:r>
          </w:p>
        </w:tc>
        <w:tc>
          <w:tcPr>
            <w:tcW w:w="3195" w:type="dxa"/>
          </w:tcPr>
          <w:p w:rsidR="00CD732C" w:rsidRPr="004C7ABE" w:rsidRDefault="00CD732C" w:rsidP="004B798A">
            <w:pPr>
              <w:spacing w:before="60" w:after="60" w:line="240" w:lineRule="atLeast"/>
              <w:jc w:val="right"/>
              <w:rPr>
                <w:sz w:val="24"/>
                <w:szCs w:val="24"/>
              </w:rPr>
            </w:pPr>
            <w:r w:rsidRPr="004C7ABE">
              <w:rPr>
                <w:sz w:val="24"/>
                <w:szCs w:val="24"/>
              </w:rPr>
              <w:t>$1,500</w:t>
            </w:r>
          </w:p>
        </w:tc>
        <w:tc>
          <w:tcPr>
            <w:tcW w:w="3191" w:type="dxa"/>
          </w:tcPr>
          <w:p w:rsidR="00CD732C" w:rsidRPr="004C7ABE" w:rsidRDefault="00CD732C" w:rsidP="004B798A">
            <w:pPr>
              <w:spacing w:before="60" w:after="60" w:line="240" w:lineRule="atLeast"/>
              <w:jc w:val="right"/>
              <w:rPr>
                <w:sz w:val="24"/>
                <w:szCs w:val="24"/>
              </w:rPr>
            </w:pPr>
            <w:r w:rsidRPr="004C7ABE">
              <w:rPr>
                <w:sz w:val="24"/>
                <w:szCs w:val="24"/>
              </w:rPr>
              <w:t>$1,800</w:t>
            </w:r>
          </w:p>
        </w:tc>
      </w:tr>
      <w:tr w:rsidR="00CD732C" w:rsidRPr="004C7ABE" w:rsidTr="004B798A">
        <w:tblPrEx>
          <w:tblLook w:val="0000" w:firstRow="0" w:lastRow="0" w:firstColumn="0" w:lastColumn="0" w:noHBand="0" w:noVBand="0"/>
        </w:tblPrEx>
        <w:trPr>
          <w:trHeight w:val="330"/>
        </w:trPr>
        <w:tc>
          <w:tcPr>
            <w:tcW w:w="3194" w:type="dxa"/>
          </w:tcPr>
          <w:p w:rsidR="00CD732C" w:rsidRPr="004C7ABE" w:rsidRDefault="00CD732C" w:rsidP="004B798A">
            <w:pPr>
              <w:spacing w:before="60" w:after="60" w:line="240" w:lineRule="atLeast"/>
              <w:rPr>
                <w:sz w:val="24"/>
                <w:szCs w:val="24"/>
              </w:rPr>
            </w:pPr>
            <w:r w:rsidRPr="004C7ABE">
              <w:rPr>
                <w:sz w:val="24"/>
                <w:szCs w:val="24"/>
              </w:rPr>
              <w:t>Revenue in last fiscal year</w:t>
            </w:r>
          </w:p>
        </w:tc>
        <w:tc>
          <w:tcPr>
            <w:tcW w:w="3195" w:type="dxa"/>
          </w:tcPr>
          <w:p w:rsidR="00CD732C" w:rsidRPr="004C7ABE" w:rsidRDefault="00CD732C" w:rsidP="004B798A">
            <w:pPr>
              <w:spacing w:before="60" w:after="60" w:line="240" w:lineRule="atLeast"/>
              <w:jc w:val="right"/>
              <w:rPr>
                <w:sz w:val="24"/>
                <w:szCs w:val="24"/>
              </w:rPr>
            </w:pPr>
            <w:r w:rsidRPr="004C7ABE">
              <w:rPr>
                <w:sz w:val="24"/>
                <w:szCs w:val="24"/>
              </w:rPr>
              <w:t>$13 million</w:t>
            </w:r>
          </w:p>
        </w:tc>
        <w:tc>
          <w:tcPr>
            <w:tcW w:w="3191" w:type="dxa"/>
          </w:tcPr>
          <w:p w:rsidR="00CD732C" w:rsidRPr="004C7ABE" w:rsidRDefault="00CD732C" w:rsidP="004B798A">
            <w:pPr>
              <w:spacing w:before="60" w:after="60" w:line="240" w:lineRule="atLeast"/>
              <w:jc w:val="right"/>
              <w:rPr>
                <w:sz w:val="24"/>
                <w:szCs w:val="24"/>
              </w:rPr>
            </w:pPr>
            <w:r w:rsidRPr="004C7ABE">
              <w:rPr>
                <w:sz w:val="24"/>
                <w:szCs w:val="24"/>
              </w:rPr>
              <w:t>$31 million</w:t>
            </w:r>
          </w:p>
        </w:tc>
      </w:tr>
      <w:tr w:rsidR="00CD732C" w:rsidRPr="004C7ABE" w:rsidTr="004B798A">
        <w:tblPrEx>
          <w:tblLook w:val="0000" w:firstRow="0" w:lastRow="0" w:firstColumn="0" w:lastColumn="0" w:noHBand="0" w:noVBand="0"/>
        </w:tblPrEx>
        <w:trPr>
          <w:trHeight w:val="420"/>
        </w:trPr>
        <w:tc>
          <w:tcPr>
            <w:tcW w:w="3194" w:type="dxa"/>
          </w:tcPr>
          <w:p w:rsidR="00CD732C" w:rsidRPr="004C7ABE" w:rsidRDefault="00CD732C" w:rsidP="004B798A">
            <w:pPr>
              <w:spacing w:before="60" w:after="60" w:line="240" w:lineRule="atLeast"/>
              <w:rPr>
                <w:sz w:val="24"/>
                <w:szCs w:val="24"/>
              </w:rPr>
            </w:pPr>
            <w:r w:rsidRPr="004C7ABE">
              <w:rPr>
                <w:sz w:val="24"/>
                <w:szCs w:val="24"/>
              </w:rPr>
              <w:t>Sales price of entity</w:t>
            </w:r>
          </w:p>
        </w:tc>
        <w:tc>
          <w:tcPr>
            <w:tcW w:w="3195" w:type="dxa"/>
          </w:tcPr>
          <w:p w:rsidR="00CD732C" w:rsidRPr="004C7ABE" w:rsidRDefault="00CD732C" w:rsidP="004B798A">
            <w:pPr>
              <w:spacing w:before="60" w:after="60" w:line="240" w:lineRule="atLeast"/>
              <w:jc w:val="right"/>
              <w:rPr>
                <w:sz w:val="24"/>
                <w:szCs w:val="24"/>
              </w:rPr>
            </w:pPr>
            <w:r w:rsidRPr="004C7ABE">
              <w:rPr>
                <w:sz w:val="24"/>
                <w:szCs w:val="24"/>
              </w:rPr>
              <w:t>$18 million (12 times earnings)</w:t>
            </w:r>
          </w:p>
        </w:tc>
        <w:tc>
          <w:tcPr>
            <w:tcW w:w="3191" w:type="dxa"/>
          </w:tcPr>
          <w:p w:rsidR="00CD732C" w:rsidRPr="004C7ABE" w:rsidRDefault="00CD732C" w:rsidP="004B798A">
            <w:pPr>
              <w:spacing w:before="60" w:after="60" w:line="240" w:lineRule="atLeast"/>
              <w:jc w:val="right"/>
              <w:rPr>
                <w:sz w:val="24"/>
                <w:szCs w:val="24"/>
              </w:rPr>
            </w:pPr>
            <w:r w:rsidRPr="004C7ABE">
              <w:rPr>
                <w:sz w:val="24"/>
                <w:szCs w:val="24"/>
              </w:rPr>
              <w:t>$31 million (11 times earnings)</w:t>
            </w:r>
          </w:p>
        </w:tc>
      </w:tr>
    </w:tbl>
    <w:p w:rsidR="00CD732C" w:rsidRPr="004C7ABE" w:rsidRDefault="00CD732C" w:rsidP="00CD732C">
      <w:pPr>
        <w:rPr>
          <w:sz w:val="24"/>
          <w:szCs w:val="24"/>
        </w:rPr>
      </w:pPr>
    </w:p>
    <w:p w:rsidR="00CD732C" w:rsidRPr="004C7ABE" w:rsidRDefault="00CD732C" w:rsidP="00CD732C">
      <w:pPr>
        <w:jc w:val="both"/>
        <w:rPr>
          <w:sz w:val="24"/>
          <w:szCs w:val="24"/>
        </w:rPr>
      </w:pPr>
      <w:r w:rsidRPr="004C7ABE">
        <w:rPr>
          <w:sz w:val="24"/>
          <w:szCs w:val="24"/>
        </w:rPr>
        <w:t>AE also indicated that if you were to use a discounted cash flow analysis to estimate value, that a 20% discount rate should be used.  Furthermore, they indicated that the growth factor for years two through five should be 3% with a 1% growth factor after that.</w:t>
      </w:r>
    </w:p>
    <w:p w:rsidR="00CD732C" w:rsidRPr="004C7ABE" w:rsidRDefault="00CD732C" w:rsidP="00CD732C">
      <w:pPr>
        <w:jc w:val="both"/>
        <w:rPr>
          <w:b/>
          <w:sz w:val="24"/>
          <w:szCs w:val="24"/>
        </w:rPr>
      </w:pPr>
    </w:p>
    <w:p w:rsidR="00CD732C" w:rsidRPr="004C7ABE" w:rsidRDefault="00CD732C" w:rsidP="00CD732C">
      <w:pPr>
        <w:rPr>
          <w:b/>
          <w:sz w:val="24"/>
          <w:szCs w:val="24"/>
        </w:rPr>
      </w:pPr>
      <w:r w:rsidRPr="004C7ABE">
        <w:rPr>
          <w:b/>
          <w:sz w:val="24"/>
          <w:szCs w:val="24"/>
        </w:rPr>
        <w:t>Required</w:t>
      </w:r>
    </w:p>
    <w:p w:rsidR="00CD732C" w:rsidRDefault="00CD732C" w:rsidP="00CD732C">
      <w:pPr>
        <w:rPr>
          <w:sz w:val="24"/>
          <w:szCs w:val="24"/>
        </w:rPr>
      </w:pPr>
    </w:p>
    <w:p w:rsidR="00CD732C" w:rsidRDefault="00CD732C" w:rsidP="00CD732C">
      <w:pPr>
        <w:rPr>
          <w:sz w:val="24"/>
          <w:szCs w:val="24"/>
        </w:rPr>
      </w:pPr>
      <w:r w:rsidRPr="00C63393">
        <w:rPr>
          <w:sz w:val="24"/>
          <w:szCs w:val="24"/>
        </w:rPr>
        <w:t xml:space="preserve">Based on the above information about Sun Ray Boats and the comparable transactions, estimate the value of Sun Ray Boats.  </w:t>
      </w:r>
      <w:r>
        <w:rPr>
          <w:sz w:val="24"/>
          <w:szCs w:val="24"/>
        </w:rPr>
        <w:t xml:space="preserve">Apply: </w:t>
      </w:r>
    </w:p>
    <w:p w:rsidR="00CD732C" w:rsidRDefault="00CD732C" w:rsidP="00CD732C">
      <w:pPr>
        <w:rPr>
          <w:sz w:val="24"/>
          <w:szCs w:val="24"/>
        </w:rPr>
      </w:pPr>
    </w:p>
    <w:p w:rsidR="00CD732C" w:rsidRPr="00C63393" w:rsidRDefault="00CD732C" w:rsidP="00CD732C">
      <w:pPr>
        <w:numPr>
          <w:ilvl w:val="0"/>
          <w:numId w:val="1"/>
        </w:numPr>
        <w:rPr>
          <w:sz w:val="24"/>
          <w:szCs w:val="24"/>
        </w:rPr>
      </w:pPr>
      <w:r w:rsidRPr="00C63393">
        <w:rPr>
          <w:sz w:val="24"/>
          <w:szCs w:val="24"/>
        </w:rPr>
        <w:t>Similar transaction method</w:t>
      </w:r>
      <w:r>
        <w:rPr>
          <w:sz w:val="24"/>
          <w:szCs w:val="24"/>
        </w:rPr>
        <w:t xml:space="preserve"> (consider </w:t>
      </w:r>
      <w:r w:rsidRPr="00C63393">
        <w:rPr>
          <w:sz w:val="24"/>
          <w:szCs w:val="24"/>
        </w:rPr>
        <w:t>the enhanced earnings capacity</w:t>
      </w:r>
      <w:r>
        <w:rPr>
          <w:sz w:val="24"/>
          <w:szCs w:val="24"/>
        </w:rPr>
        <w:t>) (10 points)</w:t>
      </w:r>
    </w:p>
    <w:p w:rsidR="00CD732C" w:rsidRDefault="00CD732C" w:rsidP="00CD732C">
      <w:pPr>
        <w:numPr>
          <w:ilvl w:val="0"/>
          <w:numId w:val="1"/>
        </w:numPr>
        <w:rPr>
          <w:sz w:val="24"/>
          <w:szCs w:val="24"/>
        </w:rPr>
      </w:pPr>
      <w:r w:rsidRPr="00C63393">
        <w:rPr>
          <w:sz w:val="24"/>
          <w:szCs w:val="24"/>
        </w:rPr>
        <w:t>Discounted cash flow method</w:t>
      </w:r>
      <w:r>
        <w:rPr>
          <w:sz w:val="24"/>
          <w:szCs w:val="24"/>
        </w:rPr>
        <w:t xml:space="preserve"> (use the end-of-year convention) (40 points)</w:t>
      </w:r>
    </w:p>
    <w:p w:rsidR="00CD732C" w:rsidRDefault="00CD732C" w:rsidP="00CD732C">
      <w:pPr>
        <w:ind w:left="720"/>
        <w:rPr>
          <w:sz w:val="24"/>
          <w:szCs w:val="24"/>
        </w:rPr>
      </w:pPr>
    </w:p>
    <w:p w:rsidR="00CD732C" w:rsidRPr="00CD732C" w:rsidRDefault="00CD732C" w:rsidP="00CD732C">
      <w:pPr>
        <w:rPr>
          <w:sz w:val="24"/>
          <w:szCs w:val="24"/>
        </w:rPr>
      </w:pPr>
      <w:r>
        <w:rPr>
          <w:sz w:val="24"/>
          <w:szCs w:val="24"/>
        </w:rPr>
        <w:t>You may create Excel spreadsheet to answer these ques</w:t>
      </w:r>
      <w:r>
        <w:rPr>
          <w:sz w:val="24"/>
          <w:szCs w:val="24"/>
        </w:rPr>
        <w:t>tions. Please be neat and show all work and formulas.</w:t>
      </w:r>
    </w:p>
    <w:sectPr w:rsidR="00CD732C" w:rsidRPr="00CD7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84247"/>
    <w:multiLevelType w:val="hybridMultilevel"/>
    <w:tmpl w:val="516605F4"/>
    <w:lvl w:ilvl="0" w:tplc="D15404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2C"/>
    <w:rsid w:val="00864772"/>
    <w:rsid w:val="00CD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date"/>
  <w:smartTagType w:namespaceuri="urn:schemas-microsoft-com:office:smarttags" w:name="City"/>
  <w:smartTagType w:namespaceuri="urn:schemas-kweb:inappropriateterms" w:name="lists"/>
  <w:shapeDefaults>
    <o:shapedefaults v:ext="edit" spidmax="1026"/>
    <o:shapelayout v:ext="edit">
      <o:idmap v:ext="edit" data="1"/>
    </o:shapelayout>
  </w:shapeDefaults>
  <w:decimalSymbol w:val="."/>
  <w:listSeparator w:val=","/>
  <w15:chartTrackingRefBased/>
  <w15:docId w15:val="{1F62148F-DBDE-4EA9-A361-9D2D162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32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Chiang, Emily</dc:creator>
  <cp:keywords/>
  <dc:description/>
  <cp:lastModifiedBy>Chiang, Emily</cp:lastModifiedBy>
  <cp:revision>1</cp:revision>
  <dcterms:created xsi:type="dcterms:W3CDTF">2017-05-04T18:14:00Z</dcterms:created>
  <dcterms:modified xsi:type="dcterms:W3CDTF">2017-05-04T18:14:00Z</dcterms:modified>
</cp:coreProperties>
</file>